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5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законов Новосибирской области, подлежащих признанию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утратившими силу, приостановлению, изменению или принятию в </w:t>
      </w:r>
      <w:r>
        <w:rPr>
          <w:rFonts w:ascii="Times New Roman" w:hAnsi="Times New Roman"/>
          <w:b/>
          <w:sz w:val="28"/>
          <w:szCs w:val="28"/>
        </w:rPr>
        <w:t xml:space="preserve">случае </w:t>
      </w:r>
      <w:r>
        <w:rPr>
          <w:rFonts w:ascii="Times New Roman" w:hAnsi="Times New Roman"/>
          <w:b/>
          <w:sz w:val="28"/>
          <w:szCs w:val="28"/>
        </w:rPr>
        <w:t xml:space="preserve">приняти</w:t>
      </w:r>
      <w:r>
        <w:rPr>
          <w:rFonts w:ascii="Times New Roman" w:hAnsi="Times New Roman"/>
          <w:b/>
          <w:sz w:val="28"/>
          <w:szCs w:val="28"/>
        </w:rPr>
        <w:t xml:space="preserve">я</w:t>
      </w:r>
      <w:r>
        <w:rPr>
          <w:rFonts w:ascii="Times New Roman" w:hAnsi="Times New Roman"/>
          <w:b/>
          <w:sz w:val="28"/>
          <w:szCs w:val="28"/>
        </w:rPr>
        <w:t xml:space="preserve"> з</w:t>
      </w:r>
      <w:r>
        <w:rPr>
          <w:rFonts w:ascii="Times New Roman" w:hAnsi="Times New Roman"/>
          <w:b/>
          <w:sz w:val="28"/>
          <w:szCs w:val="28"/>
        </w:rPr>
        <w:t xml:space="preserve">акона 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Об утверждении заключения Соглашения между </w:t>
      </w:r>
      <w:r>
        <w:rPr>
          <w:rFonts w:ascii="Times New Roman" w:hAnsi="Times New Roman" w:cs="Times New Roman"/>
          <w:b/>
          <w:sz w:val="28"/>
          <w:szCs w:val="28"/>
        </w:rPr>
        <w:t xml:space="preserve">Правительством Новосибирской области (Российская Федерация) и </w:t>
      </w:r>
      <w:r>
        <w:rPr>
          <w:rFonts w:ascii="Times New Roman" w:hAnsi="Times New Roman" w:cs="Times New Roman"/>
          <w:b/>
          <w:sz w:val="28"/>
          <w:szCs w:val="28"/>
        </w:rPr>
        <w:t xml:space="preserve">Хокимиятом</w:t>
      </w:r>
      <w:r>
        <w:rPr>
          <w:rFonts w:ascii="Times New Roman" w:hAnsi="Times New Roman" w:cs="Times New Roman"/>
          <w:b/>
          <w:sz w:val="28"/>
          <w:szCs w:val="28"/>
        </w:rPr>
        <w:t xml:space="preserve"> Сурхандарьинской области (Республика Узбекистан)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торгово-экономическом, научно-техническом и социально-культурном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сотрудничестве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74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4"/>
      </w:pPr>
      <w:r>
        <w:rPr>
          <w:rFonts w:ascii="Times New Roman" w:hAnsi="Times New Roman"/>
          <w:sz w:val="28"/>
          <w:szCs w:val="28"/>
        </w:rPr>
        <w:t xml:space="preserve">Принятие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акона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Об </w:t>
      </w:r>
      <w:r>
        <w:rPr>
          <w:rFonts w:ascii="Times New Roman" w:hAnsi="Times New Roman"/>
          <w:sz w:val="28"/>
          <w:szCs w:val="28"/>
        </w:rPr>
        <w:t xml:space="preserve">утверждении заключения Соглашения между </w:t>
      </w:r>
      <w:r>
        <w:rPr>
          <w:rFonts w:ascii="Times New Roman" w:hAnsi="Times New Roman"/>
          <w:sz w:val="28"/>
          <w:szCs w:val="28"/>
        </w:rPr>
        <w:t xml:space="preserve">Правительством Новосибирской области (Российская Федерация) и Хокимиятом Сурхандарьинской области (Республика Узбекистан) </w:t>
      </w:r>
      <w:r>
        <w:rPr>
          <w:rFonts w:ascii="Times New Roman" w:hAnsi="Times New Roman"/>
          <w:sz w:val="28"/>
          <w:szCs w:val="28"/>
        </w:rPr>
        <w:t xml:space="preserve">о торгово-экономическом, научно-техническом и социально-культурном сотрудничестве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</w:t>
      </w:r>
      <w:r>
        <w:rPr>
          <w:rFonts w:ascii="Times New Roman" w:hAnsi="Times New Roman"/>
          <w:sz w:val="28"/>
          <w:szCs w:val="28"/>
        </w:rPr>
        <w:t xml:space="preserve"> потребует</w:t>
      </w:r>
      <w:r>
        <w:rPr>
          <w:rFonts w:ascii="Times New Roman" w:hAnsi="Times New Roman"/>
          <w:sz w:val="28"/>
          <w:szCs w:val="28"/>
        </w:rPr>
        <w:t xml:space="preserve"> признания утр</w:t>
      </w:r>
      <w:r>
        <w:rPr>
          <w:rFonts w:ascii="Times New Roman" w:hAnsi="Times New Roman"/>
          <w:sz w:val="28"/>
          <w:szCs w:val="28"/>
        </w:rPr>
        <w:t xml:space="preserve">атившими силу, приостановления</w:t>
      </w:r>
      <w:r>
        <w:rPr>
          <w:rFonts w:ascii="Times New Roman" w:hAnsi="Times New Roman"/>
          <w:sz w:val="28"/>
          <w:szCs w:val="28"/>
        </w:rPr>
        <w:t xml:space="preserve">, изменения </w:t>
      </w:r>
      <w:r>
        <w:rPr>
          <w:rFonts w:ascii="Times New Roman" w:hAnsi="Times New Roman"/>
          <w:sz w:val="28"/>
          <w:szCs w:val="28"/>
        </w:rPr>
        <w:t xml:space="preserve">или принятия законов Новосибирской области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1134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2</w:t>
    </w:r>
    <w:r>
      <w:rPr>
        <w:rStyle w:val="882"/>
      </w:rPr>
      <w:fldChar w:fldCharType="end"/>
    </w:r>
    <w:r>
      <w:rPr>
        <w:rStyle w:val="882"/>
      </w:rPr>
    </w:r>
    <w:r>
      <w:rPr>
        <w:rStyle w:val="882"/>
      </w:rPr>
    </w:r>
  </w:p>
  <w:p>
    <w:pPr>
      <w:pStyle w:val="88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2</w:t>
    </w:r>
    <w:r>
      <w:rPr>
        <w:rStyle w:val="882"/>
      </w:rPr>
      <w:fldChar w:fldCharType="end"/>
    </w:r>
    <w:r>
      <w:rPr>
        <w:rStyle w:val="882"/>
      </w:rPr>
    </w:r>
    <w:r>
      <w:rPr>
        <w:rStyle w:val="882"/>
      </w:rPr>
    </w:r>
  </w:p>
  <w:p>
    <w:pPr>
      <w:pStyle w:val="88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4" w:hanging="375"/>
        <w:tabs>
          <w:tab w:val="num" w:pos="1084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>
    <w:name w:val="Heading 1"/>
    <w:basedOn w:val="874"/>
    <w:next w:val="874"/>
    <w:link w:val="69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7">
    <w:name w:val="Heading 1 Char"/>
    <w:link w:val="696"/>
    <w:uiPriority w:val="9"/>
    <w:rPr>
      <w:rFonts w:ascii="Arial" w:hAnsi="Arial" w:eastAsia="Arial" w:cs="Arial"/>
      <w:sz w:val="40"/>
      <w:szCs w:val="40"/>
    </w:rPr>
  </w:style>
  <w:style w:type="paragraph" w:styleId="698">
    <w:name w:val="Heading 2"/>
    <w:basedOn w:val="874"/>
    <w:next w:val="874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9">
    <w:name w:val="Heading 2 Char"/>
    <w:link w:val="698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4"/>
    <w:next w:val="874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4"/>
    <w:next w:val="874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4"/>
    <w:next w:val="874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4"/>
    <w:next w:val="874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4"/>
    <w:next w:val="874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4"/>
    <w:next w:val="874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4"/>
    <w:next w:val="874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4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4"/>
    <w:next w:val="874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link w:val="716"/>
    <w:uiPriority w:val="10"/>
    <w:rPr>
      <w:sz w:val="48"/>
      <w:szCs w:val="48"/>
    </w:rPr>
  </w:style>
  <w:style w:type="paragraph" w:styleId="718">
    <w:name w:val="Subtitle"/>
    <w:basedOn w:val="874"/>
    <w:next w:val="874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link w:val="718"/>
    <w:uiPriority w:val="11"/>
    <w:rPr>
      <w:sz w:val="24"/>
      <w:szCs w:val="24"/>
    </w:rPr>
  </w:style>
  <w:style w:type="paragraph" w:styleId="720">
    <w:name w:val="Quote"/>
    <w:basedOn w:val="874"/>
    <w:next w:val="874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4"/>
    <w:next w:val="874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paragraph" w:styleId="724">
    <w:name w:val="Header"/>
    <w:basedOn w:val="874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Header Char"/>
    <w:link w:val="724"/>
    <w:uiPriority w:val="99"/>
  </w:style>
  <w:style w:type="paragraph" w:styleId="726">
    <w:name w:val="Footer"/>
    <w:basedOn w:val="874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Footer Char"/>
    <w:link w:val="726"/>
    <w:uiPriority w:val="99"/>
  </w:style>
  <w:style w:type="paragraph" w:styleId="728">
    <w:name w:val="Caption"/>
    <w:basedOn w:val="874"/>
    <w:next w:val="87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9">
    <w:name w:val="Caption Char"/>
    <w:basedOn w:val="728"/>
    <w:link w:val="726"/>
    <w:uiPriority w:val="99"/>
  </w:style>
  <w:style w:type="table" w:styleId="73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6">
    <w:name w:val="Hyperlink"/>
    <w:uiPriority w:val="99"/>
    <w:unhideWhenUsed/>
    <w:rPr>
      <w:color w:val="0000ff" w:themeColor="hyperlink"/>
      <w:u w:val="single"/>
    </w:r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next w:val="874"/>
    <w:link w:val="874"/>
    <w:qFormat/>
    <w:pPr>
      <w:ind w:firstLine="709"/>
      <w:jc w:val="both"/>
    </w:pPr>
    <w:rPr>
      <w:rFonts w:ascii="Arial" w:hAnsi="Arial"/>
      <w:sz w:val="24"/>
      <w:lang w:val="ru-RU" w:eastAsia="ru-RU" w:bidi="ar-SA"/>
    </w:rPr>
  </w:style>
  <w:style w:type="paragraph" w:styleId="875">
    <w:name w:val="Заголовок 2"/>
    <w:basedOn w:val="874"/>
    <w:next w:val="874"/>
    <w:link w:val="874"/>
    <w:qFormat/>
    <w:pPr>
      <w:ind w:firstLine="0"/>
      <w:jc w:val="center"/>
      <w:keepNext/>
      <w:spacing w:before="240" w:after="60"/>
    </w:pPr>
    <w:rPr>
      <w:b/>
    </w:rPr>
  </w:style>
  <w:style w:type="paragraph" w:styleId="876">
    <w:name w:val="Заголовок 3"/>
    <w:basedOn w:val="874"/>
    <w:next w:val="874"/>
    <w:link w:val="874"/>
    <w:qFormat/>
    <w:pPr>
      <w:ind w:firstLine="0"/>
      <w:jc w:val="left"/>
      <w:keepNext/>
    </w:pPr>
  </w:style>
  <w:style w:type="character" w:styleId="877">
    <w:name w:val="Основной шрифт абзаца"/>
    <w:next w:val="877"/>
    <w:link w:val="874"/>
    <w:semiHidden/>
  </w:style>
  <w:style w:type="table" w:styleId="878">
    <w:name w:val="Обычная таблица"/>
    <w:next w:val="878"/>
    <w:link w:val="874"/>
    <w:semiHidden/>
    <w:tblPr/>
  </w:style>
  <w:style w:type="numbering" w:styleId="879">
    <w:name w:val="Нет списка"/>
    <w:next w:val="879"/>
    <w:link w:val="874"/>
    <w:semiHidden/>
  </w:style>
  <w:style w:type="paragraph" w:styleId="880">
    <w:name w:val="Верхний колонтитул"/>
    <w:basedOn w:val="874"/>
    <w:next w:val="880"/>
    <w:link w:val="874"/>
    <w:pPr>
      <w:tabs>
        <w:tab w:val="center" w:pos="4536" w:leader="none"/>
        <w:tab w:val="right" w:pos="9072" w:leader="none"/>
      </w:tabs>
    </w:pPr>
  </w:style>
  <w:style w:type="paragraph" w:styleId="881">
    <w:name w:val="Нижний колонтитул"/>
    <w:basedOn w:val="874"/>
    <w:next w:val="881"/>
    <w:link w:val="874"/>
    <w:pPr>
      <w:tabs>
        <w:tab w:val="center" w:pos="4536" w:leader="none"/>
        <w:tab w:val="right" w:pos="9072" w:leader="none"/>
      </w:tabs>
    </w:pPr>
  </w:style>
  <w:style w:type="character" w:styleId="882">
    <w:name w:val="Номер страницы"/>
    <w:basedOn w:val="877"/>
    <w:next w:val="882"/>
    <w:link w:val="874"/>
  </w:style>
  <w:style w:type="paragraph" w:styleId="883">
    <w:name w:val="Основной текст с отступом"/>
    <w:basedOn w:val="874"/>
    <w:next w:val="883"/>
    <w:link w:val="874"/>
    <w:pPr>
      <w:spacing w:line="302" w:lineRule="exact"/>
      <w:shd w:val="clear" w:color="auto" w:fill="ffffff"/>
    </w:pPr>
  </w:style>
  <w:style w:type="paragraph" w:styleId="884">
    <w:name w:val="Текст выноски"/>
    <w:basedOn w:val="874"/>
    <w:next w:val="884"/>
    <w:link w:val="885"/>
    <w:rPr>
      <w:rFonts w:ascii="Tahoma" w:hAnsi="Tahoma" w:cs="Tahoma"/>
      <w:sz w:val="16"/>
      <w:szCs w:val="16"/>
    </w:rPr>
  </w:style>
  <w:style w:type="character" w:styleId="885">
    <w:name w:val="Текст выноски Знак"/>
    <w:next w:val="885"/>
    <w:link w:val="884"/>
    <w:rPr>
      <w:rFonts w:ascii="Tahoma" w:hAnsi="Tahoma" w:cs="Tahoma"/>
      <w:sz w:val="16"/>
      <w:szCs w:val="16"/>
    </w:rPr>
  </w:style>
  <w:style w:type="character" w:styleId="886" w:default="1">
    <w:name w:val="Default Paragraph Font"/>
    <w:uiPriority w:val="1"/>
    <w:semiHidden/>
    <w:unhideWhenUsed/>
  </w:style>
  <w:style w:type="numbering" w:styleId="887" w:default="1">
    <w:name w:val="No List"/>
    <w:uiPriority w:val="99"/>
    <w:semiHidden/>
    <w:unhideWhenUsed/>
  </w:style>
  <w:style w:type="table" w:styleId="88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Прокуратура НСО</Company>
  <DocSecurity>4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Пуцын И.В.</dc:creator>
  <cp:revision>4</cp:revision>
  <dcterms:created xsi:type="dcterms:W3CDTF">2023-08-03T09:40:00Z</dcterms:created>
  <dcterms:modified xsi:type="dcterms:W3CDTF">2024-11-12T03:37:29Z</dcterms:modified>
  <cp:version>1048576</cp:version>
</cp:coreProperties>
</file>